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06" w:rsidRDefault="006E5D06" w:rsidP="006E5D06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Data source and definitions: </w:t>
      </w:r>
    </w:p>
    <w:p w:rsidR="006E5D06" w:rsidRPr="0038325F" w:rsidRDefault="006E5D06" w:rsidP="006E5D06">
      <w:pPr>
        <w:rPr>
          <w:rFonts w:asciiTheme="majorHAnsi" w:eastAsia="Calibri" w:hAnsiTheme="majorHAnsi" w:cstheme="majorHAnsi"/>
          <w:sz w:val="28"/>
          <w:szCs w:val="28"/>
        </w:rPr>
      </w:pPr>
      <w:r w:rsidRPr="0038325F">
        <w:rPr>
          <w:rFonts w:asciiTheme="majorHAnsi" w:hAnsiTheme="majorHAnsi" w:cstheme="majorHAnsi"/>
          <w:sz w:val="28"/>
          <w:szCs w:val="28"/>
        </w:rPr>
        <w:t xml:space="preserve">For </w:t>
      </w:r>
      <w:r>
        <w:rPr>
          <w:rFonts w:asciiTheme="majorHAnsi" w:hAnsiTheme="majorHAnsi" w:cstheme="majorHAnsi"/>
          <w:sz w:val="28"/>
          <w:szCs w:val="28"/>
        </w:rPr>
        <w:t xml:space="preserve">county-level </w:t>
      </w:r>
      <w:r w:rsidRPr="0038325F">
        <w:rPr>
          <w:rFonts w:asciiTheme="majorHAnsi" w:hAnsiTheme="majorHAnsi" w:cstheme="majorHAnsi"/>
          <w:sz w:val="28"/>
          <w:szCs w:val="28"/>
        </w:rPr>
        <w:t xml:space="preserve">estimates of households in the United States that have </w:t>
      </w:r>
      <w:r w:rsidR="00EA7B8D">
        <w:rPr>
          <w:rFonts w:asciiTheme="majorHAnsi" w:hAnsiTheme="majorHAnsi" w:cstheme="majorHAnsi"/>
          <w:sz w:val="28"/>
          <w:szCs w:val="28"/>
        </w:rPr>
        <w:t>in</w:t>
      </w:r>
      <w:r w:rsidRPr="0038325F">
        <w:rPr>
          <w:rFonts w:asciiTheme="majorHAnsi" w:hAnsiTheme="majorHAnsi" w:cstheme="majorHAnsi"/>
          <w:sz w:val="28"/>
          <w:szCs w:val="28"/>
        </w:rPr>
        <w:t>adequate plumbing</w:t>
      </w:r>
      <w:r w:rsidR="00EA7B8D">
        <w:rPr>
          <w:rFonts w:asciiTheme="majorHAnsi" w:hAnsiTheme="majorHAnsi" w:cstheme="majorHAnsi"/>
          <w:sz w:val="28"/>
          <w:szCs w:val="28"/>
        </w:rPr>
        <w:t>, in</w:t>
      </w:r>
      <w:r w:rsidRPr="0038325F">
        <w:rPr>
          <w:rFonts w:asciiTheme="majorHAnsi" w:hAnsiTheme="majorHAnsi" w:cstheme="majorHAnsi"/>
          <w:sz w:val="28"/>
          <w:szCs w:val="28"/>
        </w:rPr>
        <w:t xml:space="preserve">adequate kitchens or are overcrowded, KHN </w:t>
      </w:r>
      <w:r>
        <w:rPr>
          <w:rFonts w:asciiTheme="majorHAnsi" w:hAnsiTheme="majorHAnsi" w:cstheme="majorHAnsi"/>
          <w:sz w:val="28"/>
          <w:szCs w:val="28"/>
        </w:rPr>
        <w:t>utilized</w:t>
      </w:r>
      <w:r w:rsidRPr="0038325F">
        <w:rPr>
          <w:rFonts w:asciiTheme="majorHAnsi" w:hAnsiTheme="majorHAnsi" w:cstheme="majorHAnsi"/>
          <w:sz w:val="28"/>
          <w:szCs w:val="28"/>
        </w:rPr>
        <w:t xml:space="preserve"> data from the American Community Survey (ACS) five-year estimates (2014-18)</w:t>
      </w:r>
      <w:r>
        <w:rPr>
          <w:rFonts w:asciiTheme="majorHAnsi" w:hAnsiTheme="majorHAnsi" w:cstheme="majorHAnsi"/>
          <w:sz w:val="28"/>
          <w:szCs w:val="28"/>
        </w:rPr>
        <w:t>.</w:t>
      </w:r>
      <w:r w:rsidR="008D5A7A">
        <w:rPr>
          <w:rFonts w:asciiTheme="majorHAnsi" w:hAnsiTheme="majorHAnsi" w:cstheme="majorHAnsi"/>
          <w:sz w:val="28"/>
          <w:szCs w:val="28"/>
        </w:rPr>
        <w:t xml:space="preserve"> Only occupied units are included in the analysis.</w:t>
      </w:r>
    </w:p>
    <w:p w:rsidR="006E5D06" w:rsidRDefault="006E5D06" w:rsidP="006E5D06">
      <w:pPr>
        <w:rPr>
          <w:rFonts w:asciiTheme="majorHAnsi" w:hAnsiTheme="majorHAnsi" w:cstheme="majorHAnsi"/>
          <w:sz w:val="28"/>
          <w:szCs w:val="28"/>
        </w:rPr>
      </w:pPr>
      <w:r w:rsidRPr="0038325F">
        <w:rPr>
          <w:rFonts w:asciiTheme="majorHAnsi" w:hAnsiTheme="majorHAnsi" w:cstheme="majorHAnsi"/>
          <w:sz w:val="28"/>
          <w:szCs w:val="28"/>
        </w:rPr>
        <w:t>Plumbing is considered inadequate if it lacks one or more of the following: piped hot and cold water; a bathtub or shower; or a toilet. A kitchen is considered inadequate if it lacks a refrigerator, a stove or range, or a sink with a faucet. A household is considered overcrowded if it has more than one person per room.</w:t>
      </w:r>
    </w:p>
    <w:p w:rsidR="006E5D06" w:rsidRDefault="006E5D06" w:rsidP="006E5D06">
      <w:pPr>
        <w:rPr>
          <w:rFonts w:asciiTheme="majorHAnsi" w:hAnsiTheme="majorHAnsi" w:cstheme="majorHAnsi"/>
          <w:sz w:val="28"/>
          <w:szCs w:val="28"/>
        </w:rPr>
      </w:pPr>
    </w:p>
    <w:p w:rsidR="008D5A7A" w:rsidRDefault="008D5A7A" w:rsidP="006E5D06">
      <w:pPr>
        <w:rPr>
          <w:rFonts w:asciiTheme="majorHAnsi" w:hAnsiTheme="majorHAnsi" w:cstheme="majorHAnsi"/>
          <w:b/>
          <w:sz w:val="28"/>
          <w:szCs w:val="28"/>
        </w:rPr>
      </w:pPr>
      <w:r w:rsidRPr="008D5A7A">
        <w:rPr>
          <w:rFonts w:asciiTheme="majorHAnsi" w:hAnsiTheme="majorHAnsi" w:cstheme="majorHAnsi"/>
          <w:b/>
          <w:sz w:val="28"/>
          <w:szCs w:val="28"/>
        </w:rPr>
        <w:t>Notes:</w:t>
      </w:r>
    </w:p>
    <w:p w:rsidR="0080350E" w:rsidRDefault="00902E9C" w:rsidP="006E5D06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Each housing metric (inadequate plumbing, inadequate kitchens, overcrowding) in the data is an estimate. For plumbing and kitchens, KHN has included the margin of error (e.g. ‘plumbing_inadequate_moe’) which </w:t>
      </w:r>
      <w:r w:rsidR="0034140D" w:rsidRPr="0034140D">
        <w:rPr>
          <w:rFonts w:asciiTheme="majorHAnsi" w:hAnsiTheme="majorHAnsi" w:cstheme="majorHAnsi"/>
          <w:sz w:val="28"/>
          <w:szCs w:val="28"/>
        </w:rPr>
        <w:t>is a measure of the possible variation of the estimate</w:t>
      </w:r>
      <w:r w:rsidR="0034140D">
        <w:rPr>
          <w:rFonts w:asciiTheme="majorHAnsi" w:hAnsiTheme="majorHAnsi" w:cstheme="majorHAnsi"/>
          <w:sz w:val="28"/>
          <w:szCs w:val="28"/>
        </w:rPr>
        <w:t xml:space="preserve"> (‘plumbing_inadequate_est’).</w:t>
      </w:r>
    </w:p>
    <w:p w:rsidR="008D5A7A" w:rsidRDefault="0013524F" w:rsidP="006E5D06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Since overcrowding is a calculation (</w:t>
      </w:r>
      <w:r w:rsidR="00EA7B8D">
        <w:rPr>
          <w:rFonts w:asciiTheme="majorHAnsi" w:hAnsiTheme="majorHAnsi" w:cstheme="majorHAnsi"/>
          <w:sz w:val="28"/>
          <w:szCs w:val="28"/>
        </w:rPr>
        <w:t xml:space="preserve">a </w:t>
      </w:r>
      <w:r>
        <w:rPr>
          <w:rFonts w:asciiTheme="majorHAnsi" w:hAnsiTheme="majorHAnsi" w:cstheme="majorHAnsi"/>
          <w:sz w:val="28"/>
          <w:szCs w:val="28"/>
        </w:rPr>
        <w:t>comparison of the number of rooms to the number of people</w:t>
      </w:r>
      <w:r w:rsidR="0080350E">
        <w:rPr>
          <w:rFonts w:asciiTheme="majorHAnsi" w:hAnsiTheme="majorHAnsi" w:cstheme="majorHAnsi"/>
          <w:sz w:val="28"/>
          <w:szCs w:val="28"/>
        </w:rPr>
        <w:t xml:space="preserve"> in each unit</w:t>
      </w:r>
      <w:r>
        <w:rPr>
          <w:rFonts w:asciiTheme="majorHAnsi" w:hAnsiTheme="majorHAnsi" w:cstheme="majorHAnsi"/>
          <w:sz w:val="28"/>
          <w:szCs w:val="28"/>
        </w:rPr>
        <w:t xml:space="preserve">) there is no margin of error. </w:t>
      </w:r>
    </w:p>
    <w:p w:rsidR="0013524F" w:rsidRDefault="00576158" w:rsidP="006E5D06">
      <w:pPr>
        <w:rPr>
          <w:rFonts w:asciiTheme="majorHAnsi" w:hAnsiTheme="majorHAnsi" w:cstheme="majorHAnsi"/>
          <w:sz w:val="28"/>
          <w:szCs w:val="28"/>
        </w:rPr>
      </w:pPr>
      <w:r w:rsidRPr="00576158">
        <w:rPr>
          <w:rFonts w:asciiTheme="majorHAnsi" w:hAnsiTheme="majorHAnsi" w:cstheme="majorHAnsi"/>
          <w:sz w:val="28"/>
          <w:szCs w:val="28"/>
        </w:rPr>
        <w:t>Inadequate plumbing, kitchens and overcrowding are not mutually exclusive–some housing units have more than one problem. These variables cannot be added within a county</w:t>
      </w:r>
      <w:r>
        <w:rPr>
          <w:rFonts w:asciiTheme="majorHAnsi" w:hAnsiTheme="majorHAnsi" w:cstheme="majorHAnsi"/>
          <w:sz w:val="28"/>
          <w:szCs w:val="28"/>
        </w:rPr>
        <w:t>.</w:t>
      </w:r>
      <w:bookmarkStart w:id="0" w:name="_GoBack"/>
      <w:bookmarkEnd w:id="0"/>
    </w:p>
    <w:p w:rsidR="00FC625A" w:rsidRPr="008D5A7A" w:rsidRDefault="00FC625A" w:rsidP="006E5D06">
      <w:pPr>
        <w:rPr>
          <w:rFonts w:asciiTheme="majorHAnsi" w:hAnsiTheme="majorHAnsi" w:cstheme="majorHAnsi"/>
          <w:b/>
          <w:sz w:val="28"/>
          <w:szCs w:val="28"/>
        </w:rPr>
      </w:pPr>
    </w:p>
    <w:sectPr w:rsidR="00FC625A" w:rsidRPr="008D5A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06"/>
    <w:rsid w:val="0013524F"/>
    <w:rsid w:val="0034140D"/>
    <w:rsid w:val="00576158"/>
    <w:rsid w:val="006E5D06"/>
    <w:rsid w:val="0080350E"/>
    <w:rsid w:val="008D5A7A"/>
    <w:rsid w:val="00902E9C"/>
    <w:rsid w:val="00DC569C"/>
    <w:rsid w:val="00E258D7"/>
    <w:rsid w:val="00EA7B8D"/>
    <w:rsid w:val="00FC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1A8E1"/>
  <w15:chartTrackingRefBased/>
  <w15:docId w15:val="{E1D5ADC4-7EE9-45CF-AF82-4A02B9D1D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D06"/>
    <w:pPr>
      <w:spacing w:after="20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5D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HERMES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Lucas</dc:creator>
  <cp:keywords/>
  <dc:description/>
  <cp:lastModifiedBy>Elizabeth Lucas</cp:lastModifiedBy>
  <cp:revision>2</cp:revision>
  <dcterms:created xsi:type="dcterms:W3CDTF">2020-05-12T20:50:00Z</dcterms:created>
  <dcterms:modified xsi:type="dcterms:W3CDTF">2020-05-12T20:50:00Z</dcterms:modified>
</cp:coreProperties>
</file>