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CF751" w14:textId="77777777" w:rsidR="00961ADB" w:rsidRPr="00DC475D" w:rsidRDefault="00961ADB" w:rsidP="00961ADB">
      <w:pPr>
        <w:pStyle w:val="NormalWeb"/>
        <w:spacing w:before="0" w:beforeAutospacing="0" w:after="375" w:afterAutospacing="0"/>
        <w:rPr>
          <w:rFonts w:ascii="Georgia" w:hAnsi="Georgia"/>
          <w:color w:val="333333"/>
        </w:rPr>
      </w:pPr>
      <w:r w:rsidRPr="00DC475D">
        <w:rPr>
          <w:rStyle w:val="Strong"/>
          <w:rFonts w:ascii="Georgia" w:hAnsi="Georgia"/>
          <w:color w:val="333333"/>
        </w:rPr>
        <w:t>METHODOLOGY</w:t>
      </w:r>
    </w:p>
    <w:p w14:paraId="4A68D0EA" w14:textId="77777777" w:rsidR="00961ADB" w:rsidRDefault="00961ADB" w:rsidP="00961ADB">
      <w:pPr>
        <w:pStyle w:val="NormalWeb"/>
        <w:spacing w:before="0" w:beforeAutospacing="0" w:after="375" w:afterAutospacing="0"/>
        <w:rPr>
          <w:rFonts w:ascii="Georgia" w:hAnsi="Georgia"/>
          <w:color w:val="333333"/>
        </w:rPr>
      </w:pPr>
      <w:r w:rsidRPr="00DC475D">
        <w:rPr>
          <w:rFonts w:ascii="Georgia" w:hAnsi="Georgia"/>
          <w:color w:val="333333"/>
        </w:rPr>
        <w:t xml:space="preserve">Kaiser Health News </w:t>
      </w:r>
      <w:hyperlink r:id="rId4" w:history="1">
        <w:r w:rsidRPr="00DC475D">
          <w:rPr>
            <w:rStyle w:val="Hyperlink"/>
            <w:rFonts w:ascii="Georgia" w:hAnsi="Georgia"/>
          </w:rPr>
          <w:t>analyzed COVID-19 case rates across the country</w:t>
        </w:r>
      </w:hyperlink>
      <w:r w:rsidRPr="00DC475D">
        <w:rPr>
          <w:rFonts w:ascii="Georgia" w:hAnsi="Georgia"/>
          <w:color w:val="333333"/>
        </w:rPr>
        <w:t xml:space="preserve"> and compared them to a number of demographic factors. KHN obtained COVID-19 data by county from </w:t>
      </w:r>
      <w:hyperlink r:id="rId5" w:tgtFrame="_blank" w:history="1">
        <w:r w:rsidRPr="00DC475D">
          <w:rPr>
            <w:rStyle w:val="Hyperlink"/>
            <w:rFonts w:ascii="Georgia" w:hAnsi="Georgia"/>
            <w:color w:val="0075C9"/>
          </w:rPr>
          <w:t>The New York Times</w:t>
        </w:r>
      </w:hyperlink>
      <w:r w:rsidRPr="00DC475D">
        <w:rPr>
          <w:rFonts w:ascii="Georgia" w:hAnsi="Georgia"/>
          <w:color w:val="333333"/>
        </w:rPr>
        <w:t> and populations from 2019 U.S. Census Bureau Population Estimates to calculate cases per 100,000 residents. The national map displays COVID-19 case rates per 100,000 by commuting zone, defined as a group of counties that approximate local economies and can cross state boundaries.</w:t>
      </w:r>
      <w:r w:rsidR="00DC475D">
        <w:rPr>
          <w:rFonts w:ascii="Georgia" w:hAnsi="Georgia"/>
          <w:color w:val="333333"/>
        </w:rPr>
        <w:t xml:space="preserve"> </w:t>
      </w:r>
    </w:p>
    <w:p w14:paraId="32238FD4" w14:textId="77777777" w:rsidR="00DC475D" w:rsidRDefault="00DC475D" w:rsidP="00961ADB">
      <w:pPr>
        <w:pStyle w:val="NormalWeb"/>
        <w:spacing w:before="0" w:beforeAutospacing="0" w:after="375" w:afterAutospacing="0"/>
        <w:rPr>
          <w:rStyle w:val="Strong"/>
          <w:rFonts w:ascii="Georgia" w:hAnsi="Georgia"/>
          <w:b w:val="0"/>
          <w:color w:val="333333"/>
        </w:rPr>
      </w:pPr>
      <w:r>
        <w:rPr>
          <w:rStyle w:val="Strong"/>
          <w:rFonts w:ascii="Georgia" w:hAnsi="Georgia"/>
          <w:b w:val="0"/>
          <w:color w:val="333333"/>
        </w:rPr>
        <w:t>KHN is providing the data by county, rather than commuter zone, although the commuter zone codes and labels are included in the data.</w:t>
      </w:r>
    </w:p>
    <w:p w14:paraId="1951844C" w14:textId="2068C64E" w:rsidR="00DC475D" w:rsidRDefault="00DC475D" w:rsidP="002B0964">
      <w:pPr>
        <w:pStyle w:val="NormalWeb"/>
        <w:spacing w:after="375"/>
        <w:rPr>
          <w:rStyle w:val="Strong"/>
          <w:rFonts w:ascii="Georgia" w:hAnsi="Georgia"/>
          <w:b w:val="0"/>
          <w:color w:val="333333"/>
        </w:rPr>
      </w:pPr>
      <w:r>
        <w:rPr>
          <w:rStyle w:val="Strong"/>
          <w:rFonts w:ascii="Georgia" w:hAnsi="Georgia"/>
          <w:b w:val="0"/>
          <w:color w:val="333333"/>
        </w:rPr>
        <w:t>The case counts are as of April 22.</w:t>
      </w:r>
      <w:r w:rsidR="002B0964">
        <w:rPr>
          <w:rStyle w:val="Strong"/>
          <w:rFonts w:ascii="Georgia" w:hAnsi="Georgia"/>
          <w:b w:val="0"/>
          <w:color w:val="333333"/>
        </w:rPr>
        <w:t xml:space="preserve"> The New York Times lumps cases for all five New York City counties into one entity, so KHN gathered separate case counts for </w:t>
      </w:r>
      <w:r w:rsidR="002B0964" w:rsidRPr="002B0964">
        <w:rPr>
          <w:rStyle w:val="Strong"/>
          <w:rFonts w:ascii="Georgia" w:hAnsi="Georgia"/>
          <w:b w:val="0"/>
          <w:color w:val="333333"/>
        </w:rPr>
        <w:t xml:space="preserve">Kings, Bronx, Richmond, </w:t>
      </w:r>
      <w:r w:rsidR="002B0964">
        <w:rPr>
          <w:rStyle w:val="Strong"/>
          <w:rFonts w:ascii="Georgia" w:hAnsi="Georgia"/>
          <w:b w:val="0"/>
          <w:color w:val="333333"/>
        </w:rPr>
        <w:t xml:space="preserve">New York and Queens counties from the New York City Health Department for this data. </w:t>
      </w:r>
    </w:p>
    <w:p w14:paraId="7936BAF9" w14:textId="36F8AFB0" w:rsidR="00AB68F9" w:rsidRDefault="00AB68F9" w:rsidP="002B0964">
      <w:pPr>
        <w:pStyle w:val="NormalWeb"/>
        <w:spacing w:after="375"/>
        <w:rPr>
          <w:rStyle w:val="Strong"/>
          <w:rFonts w:ascii="Georgia" w:hAnsi="Georgia"/>
          <w:b w:val="0"/>
          <w:color w:val="333333"/>
        </w:rPr>
      </w:pPr>
      <w:r>
        <w:rPr>
          <w:rStyle w:val="Strong"/>
          <w:rFonts w:ascii="Georgia" w:hAnsi="Georgia"/>
          <w:b w:val="0"/>
          <w:color w:val="333333"/>
        </w:rPr>
        <w:t xml:space="preserve">Elderly percentages include people age 65 and older. Health insurance rates are for people under age 65. </w:t>
      </w:r>
      <w:r w:rsidR="00F93846">
        <w:rPr>
          <w:rStyle w:val="Strong"/>
          <w:rFonts w:ascii="Georgia" w:hAnsi="Georgia"/>
          <w:b w:val="0"/>
          <w:color w:val="333333"/>
        </w:rPr>
        <w:t>Race and ethnicity percentages break the county population into the following groups: white non-Hispanic, black non-Hispanic, American Indian/Alaska Native non-Hispanic, Asian non-Hispanic, Hispanic, and other non-Hispanic.</w:t>
      </w:r>
    </w:p>
    <w:p w14:paraId="674D07A3" w14:textId="77777777" w:rsidR="00961ADB" w:rsidRPr="00DC475D" w:rsidRDefault="00961ADB" w:rsidP="00961ADB">
      <w:pPr>
        <w:pStyle w:val="NormalWeb"/>
        <w:spacing w:before="0" w:beforeAutospacing="0" w:after="375" w:afterAutospacing="0"/>
        <w:rPr>
          <w:rFonts w:ascii="Georgia" w:hAnsi="Georgia"/>
          <w:color w:val="333333"/>
        </w:rPr>
      </w:pPr>
      <w:r w:rsidRPr="00DC475D">
        <w:rPr>
          <w:rStyle w:val="Strong"/>
          <w:rFonts w:ascii="Georgia" w:hAnsi="Georgia"/>
          <w:color w:val="333333"/>
        </w:rPr>
        <w:t>DATA SOURCES</w:t>
      </w:r>
    </w:p>
    <w:p w14:paraId="112AE29E" w14:textId="77777777" w:rsidR="00961ADB" w:rsidRPr="00DC475D" w:rsidRDefault="00961ADB" w:rsidP="00DC475D">
      <w:pPr>
        <w:pStyle w:val="NormalWeb"/>
        <w:spacing w:before="0" w:beforeAutospacing="0" w:after="0" w:afterAutospacing="0"/>
        <w:rPr>
          <w:rFonts w:ascii="Georgia" w:hAnsi="Georgia"/>
          <w:color w:val="333333"/>
        </w:rPr>
      </w:pPr>
      <w:r w:rsidRPr="00DC475D">
        <w:rPr>
          <w:rFonts w:ascii="Georgia" w:hAnsi="Georgia"/>
          <w:color w:val="333333"/>
        </w:rPr>
        <w:t>COVID-19 cases and deaths by county: </w:t>
      </w:r>
      <w:hyperlink r:id="rId6" w:tgtFrame="_blank" w:history="1">
        <w:r w:rsidRPr="00DC475D">
          <w:rPr>
            <w:rStyle w:val="Hyperlink"/>
            <w:rFonts w:ascii="Georgia" w:hAnsi="Georgia"/>
            <w:color w:val="0075C9"/>
          </w:rPr>
          <w:t>The New York Times</w:t>
        </w:r>
      </w:hyperlink>
    </w:p>
    <w:p w14:paraId="3544782E" w14:textId="77777777" w:rsidR="00961ADB" w:rsidRPr="00DC475D" w:rsidRDefault="00961ADB" w:rsidP="00DC475D">
      <w:pPr>
        <w:pStyle w:val="NormalWeb"/>
        <w:spacing w:before="0" w:beforeAutospacing="0" w:after="0" w:afterAutospacing="0"/>
        <w:rPr>
          <w:rFonts w:ascii="Georgia" w:hAnsi="Georgia"/>
          <w:color w:val="333333"/>
        </w:rPr>
      </w:pPr>
      <w:r w:rsidRPr="00DC475D">
        <w:rPr>
          <w:rFonts w:ascii="Georgia" w:hAnsi="Georgia"/>
          <w:color w:val="333333"/>
        </w:rPr>
        <w:t>Commuting zone definitions: </w:t>
      </w:r>
      <w:hyperlink r:id="rId7" w:tgtFrame="_blank" w:history="1">
        <w:r w:rsidRPr="00DC475D">
          <w:rPr>
            <w:rStyle w:val="Hyperlink"/>
            <w:rFonts w:ascii="Georgia" w:hAnsi="Georgia"/>
            <w:color w:val="0075C9"/>
          </w:rPr>
          <w:t>Urban Institute</w:t>
        </w:r>
      </w:hyperlink>
      <w:r w:rsidRPr="00DC475D">
        <w:rPr>
          <w:rFonts w:ascii="Georgia" w:hAnsi="Georgia"/>
          <w:color w:val="333333"/>
        </w:rPr>
        <w:t>, with adjustments for recent county boundary changes</w:t>
      </w:r>
    </w:p>
    <w:p w14:paraId="1EC339B4" w14:textId="77777777" w:rsidR="00961ADB" w:rsidRPr="00DC475D" w:rsidRDefault="00961ADB" w:rsidP="00DC475D">
      <w:pPr>
        <w:pStyle w:val="NormalWeb"/>
        <w:spacing w:before="0" w:beforeAutospacing="0" w:after="0" w:afterAutospacing="0"/>
        <w:rPr>
          <w:rFonts w:ascii="Georgia" w:hAnsi="Georgia"/>
          <w:color w:val="333333"/>
        </w:rPr>
      </w:pPr>
      <w:r w:rsidRPr="00DC475D">
        <w:rPr>
          <w:rFonts w:ascii="Georgia" w:hAnsi="Georgia"/>
          <w:color w:val="333333"/>
        </w:rPr>
        <w:t>Population: U.S. Census Bureau </w:t>
      </w:r>
      <w:hyperlink r:id="rId8" w:tgtFrame="_blank" w:history="1">
        <w:r w:rsidRPr="00DC475D">
          <w:rPr>
            <w:rStyle w:val="Hyperlink"/>
            <w:rFonts w:ascii="Georgia" w:hAnsi="Georgia"/>
            <w:color w:val="0075C9"/>
          </w:rPr>
          <w:t>Population Estimates</w:t>
        </w:r>
      </w:hyperlink>
      <w:r w:rsidRPr="00DC475D">
        <w:rPr>
          <w:rFonts w:ascii="Georgia" w:hAnsi="Georgia"/>
          <w:color w:val="333333"/>
        </w:rPr>
        <w:t>, 2019</w:t>
      </w:r>
    </w:p>
    <w:p w14:paraId="428982AF" w14:textId="77777777" w:rsidR="00961ADB" w:rsidRPr="00DC475D" w:rsidRDefault="00961ADB" w:rsidP="00DC475D">
      <w:pPr>
        <w:pStyle w:val="NormalWeb"/>
        <w:spacing w:before="0" w:beforeAutospacing="0" w:after="0" w:afterAutospacing="0"/>
        <w:rPr>
          <w:rFonts w:ascii="Georgia" w:hAnsi="Georgia"/>
          <w:color w:val="333333"/>
        </w:rPr>
      </w:pPr>
      <w:r w:rsidRPr="00DC475D">
        <w:rPr>
          <w:rFonts w:ascii="Georgia" w:hAnsi="Georgia"/>
          <w:color w:val="333333"/>
        </w:rPr>
        <w:t>Race, ethnicity and age: U.S. Census Bureau </w:t>
      </w:r>
      <w:hyperlink r:id="rId9" w:tgtFrame="_blank" w:history="1">
        <w:r w:rsidRPr="00DC475D">
          <w:rPr>
            <w:rStyle w:val="Hyperlink"/>
            <w:rFonts w:ascii="Georgia" w:hAnsi="Georgia"/>
            <w:color w:val="0075C9"/>
          </w:rPr>
          <w:t>American Community Survey</w:t>
        </w:r>
      </w:hyperlink>
      <w:r w:rsidRPr="00DC475D">
        <w:rPr>
          <w:rFonts w:ascii="Georgia" w:hAnsi="Georgia"/>
          <w:color w:val="333333"/>
        </w:rPr>
        <w:t>, 2018</w:t>
      </w:r>
    </w:p>
    <w:p w14:paraId="30675AAD" w14:textId="77777777" w:rsidR="00961ADB" w:rsidRPr="00DC475D" w:rsidRDefault="00961ADB" w:rsidP="00DC475D">
      <w:pPr>
        <w:pStyle w:val="NormalWeb"/>
        <w:spacing w:before="0" w:beforeAutospacing="0" w:after="0" w:afterAutospacing="0"/>
        <w:rPr>
          <w:rFonts w:ascii="Georgia" w:hAnsi="Georgia"/>
          <w:color w:val="333333"/>
        </w:rPr>
      </w:pPr>
      <w:r w:rsidRPr="00DC475D">
        <w:rPr>
          <w:rFonts w:ascii="Georgia" w:hAnsi="Georgia"/>
          <w:color w:val="333333"/>
        </w:rPr>
        <w:t>Health insurance: U.S. Census Bureau </w:t>
      </w:r>
      <w:hyperlink r:id="rId10" w:tgtFrame="_blank" w:history="1">
        <w:r w:rsidRPr="00DC475D">
          <w:rPr>
            <w:rStyle w:val="Hyperlink"/>
            <w:rFonts w:ascii="Georgia" w:hAnsi="Georgia"/>
            <w:color w:val="0075C9"/>
          </w:rPr>
          <w:t>Small Area Health Insurance Estimates</w:t>
        </w:r>
      </w:hyperlink>
      <w:r w:rsidRPr="00DC475D">
        <w:rPr>
          <w:rFonts w:ascii="Georgia" w:hAnsi="Georgia"/>
          <w:color w:val="333333"/>
        </w:rPr>
        <w:t>, 2018</w:t>
      </w:r>
    </w:p>
    <w:p w14:paraId="080E764B" w14:textId="77777777" w:rsidR="00961ADB" w:rsidRPr="00DC475D" w:rsidRDefault="00961ADB" w:rsidP="00DC475D">
      <w:pPr>
        <w:pStyle w:val="NormalWeb"/>
        <w:spacing w:before="0" w:beforeAutospacing="0" w:after="0" w:afterAutospacing="0"/>
        <w:rPr>
          <w:rFonts w:ascii="Georgia" w:hAnsi="Georgia"/>
          <w:color w:val="333333"/>
        </w:rPr>
      </w:pPr>
      <w:r w:rsidRPr="00DC475D">
        <w:rPr>
          <w:rFonts w:ascii="Georgia" w:hAnsi="Georgia"/>
          <w:color w:val="333333"/>
        </w:rPr>
        <w:t>Poverty: U.S. Census Bureau </w:t>
      </w:r>
      <w:hyperlink r:id="rId11" w:tgtFrame="_blank" w:history="1">
        <w:r w:rsidRPr="00DC475D">
          <w:rPr>
            <w:rStyle w:val="Hyperlink"/>
            <w:rFonts w:ascii="Georgia" w:hAnsi="Georgia"/>
            <w:color w:val="0075C9"/>
          </w:rPr>
          <w:t>Small Area Income and Poverty Estimates</w:t>
        </w:r>
      </w:hyperlink>
      <w:r w:rsidRPr="00DC475D">
        <w:rPr>
          <w:rFonts w:ascii="Georgia" w:hAnsi="Georgia"/>
          <w:color w:val="333333"/>
        </w:rPr>
        <w:t>, 2018</w:t>
      </w:r>
    </w:p>
    <w:p w14:paraId="2DDCCDC0" w14:textId="77777777" w:rsidR="00CC73A9" w:rsidRDefault="00CC73A9" w:rsidP="00DC475D">
      <w:pPr>
        <w:spacing w:after="0"/>
      </w:pPr>
    </w:p>
    <w:p w14:paraId="0ACE0290" w14:textId="77777777" w:rsidR="00DC475D" w:rsidRDefault="00DC475D" w:rsidP="00DC475D">
      <w:pPr>
        <w:spacing w:after="0"/>
      </w:pPr>
    </w:p>
    <w:sectPr w:rsidR="00DC47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ADB"/>
    <w:rsid w:val="002B0964"/>
    <w:rsid w:val="0071243C"/>
    <w:rsid w:val="00961ADB"/>
    <w:rsid w:val="00AB68F9"/>
    <w:rsid w:val="00CC73A9"/>
    <w:rsid w:val="00DC475D"/>
    <w:rsid w:val="00F9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8BA94"/>
  <w15:chartTrackingRefBased/>
  <w15:docId w15:val="{D6B8A140-66C3-4787-A7CE-F3CE427B2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1A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61ADB"/>
    <w:rPr>
      <w:b/>
      <w:bCs/>
    </w:rPr>
  </w:style>
  <w:style w:type="character" w:styleId="Hyperlink">
    <w:name w:val="Hyperlink"/>
    <w:basedOn w:val="DefaultParagraphFont"/>
    <w:uiPriority w:val="99"/>
    <w:unhideWhenUsed/>
    <w:rsid w:val="00961A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4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ensus.gov/programs-surveys/popest.htm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apps.urban.org/features/mapping-americas-futures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ithub.com/nytimes/covid-19-data" TargetMode="External"/><Relationship Id="rId11" Type="http://schemas.openxmlformats.org/officeDocument/2006/relationships/hyperlink" Target="https://www.census.gov/programs-surveys/saipe.html" TargetMode="External"/><Relationship Id="rId5" Type="http://schemas.openxmlformats.org/officeDocument/2006/relationships/hyperlink" Target="https://github.com/nytimes/covid-19-data" TargetMode="External"/><Relationship Id="rId10" Type="http://schemas.openxmlformats.org/officeDocument/2006/relationships/hyperlink" Target="https://www.census.gov/programs-surveys/sahie.html" TargetMode="External"/><Relationship Id="rId4" Type="http://schemas.openxmlformats.org/officeDocument/2006/relationships/hyperlink" Target="https://khn.org/news/covid-south-other-risk-factors-how-race-income-zip-code-influence-who-lives-or-dies/" TargetMode="External"/><Relationship Id="rId9" Type="http://schemas.openxmlformats.org/officeDocument/2006/relationships/hyperlink" Target="https://www.census.gov/programs-surveys/ac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HERMES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Lucas</dc:creator>
  <cp:keywords/>
  <dc:description/>
  <cp:lastModifiedBy>Hannah Recht</cp:lastModifiedBy>
  <cp:revision>3</cp:revision>
  <dcterms:created xsi:type="dcterms:W3CDTF">2020-04-23T20:22:00Z</dcterms:created>
  <dcterms:modified xsi:type="dcterms:W3CDTF">2020-04-29T15:34:00Z</dcterms:modified>
</cp:coreProperties>
</file>